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9FD" w:rsidRDefault="00AC79FD">
      <w:pPr>
        <w:spacing w:after="0" w:line="240" w:lineRule="auto"/>
        <w:rPr>
          <w:rFonts w:ascii="Times New Roman" w:eastAsia="Times New Roman" w:hAnsi="Times New Roman" w:cs="Times New Roman"/>
          <w:sz w:val="24"/>
        </w:rPr>
      </w:pPr>
    </w:p>
    <w:p w:rsidR="00AC79FD" w:rsidRDefault="00AC79FD">
      <w:pPr>
        <w:spacing w:after="0" w:line="240" w:lineRule="auto"/>
        <w:rPr>
          <w:rFonts w:ascii="Times New Roman" w:eastAsia="Times New Roman" w:hAnsi="Times New Roman" w:cs="Times New Roman"/>
          <w:sz w:val="24"/>
        </w:rPr>
      </w:pPr>
    </w:p>
    <w:p w:rsidR="00AC79FD" w:rsidRDefault="00AC79FD">
      <w:pPr>
        <w:spacing w:after="0" w:line="240" w:lineRule="auto"/>
        <w:rPr>
          <w:rFonts w:ascii="Times New Roman" w:eastAsia="Times New Roman" w:hAnsi="Times New Roman" w:cs="Times New Roman"/>
          <w:sz w:val="24"/>
        </w:rPr>
      </w:pPr>
    </w:p>
    <w:p w:rsidR="00AC79FD" w:rsidRDefault="00AC79FD">
      <w:pPr>
        <w:spacing w:after="0" w:line="240" w:lineRule="auto"/>
        <w:rPr>
          <w:rFonts w:ascii="Times New Roman" w:eastAsia="Times New Roman" w:hAnsi="Times New Roman" w:cs="Times New Roman"/>
          <w:sz w:val="24"/>
        </w:rPr>
      </w:pPr>
    </w:p>
    <w:p w:rsidR="00AC79FD" w:rsidRDefault="00AC79FD">
      <w:pPr>
        <w:tabs>
          <w:tab w:val="center" w:pos="4513"/>
          <w:tab w:val="right" w:pos="9026"/>
        </w:tabs>
        <w:spacing w:after="0" w:line="240" w:lineRule="auto"/>
        <w:jc w:val="center"/>
        <w:rPr>
          <w:rFonts w:ascii="Arial" w:eastAsia="Arial" w:hAnsi="Arial" w:cs="Arial"/>
          <w:b/>
          <w:sz w:val="28"/>
        </w:rPr>
      </w:pPr>
    </w:p>
    <w:p w:rsidR="00AC79FD" w:rsidRDefault="00AC79FD">
      <w:pPr>
        <w:tabs>
          <w:tab w:val="center" w:pos="4513"/>
          <w:tab w:val="right" w:pos="9026"/>
        </w:tabs>
        <w:spacing w:after="0" w:line="240" w:lineRule="auto"/>
        <w:jc w:val="center"/>
        <w:rPr>
          <w:rFonts w:ascii="Arial" w:eastAsia="Arial" w:hAnsi="Arial" w:cs="Arial"/>
          <w:b/>
          <w:sz w:val="28"/>
        </w:rPr>
      </w:pPr>
    </w:p>
    <w:p w:rsidR="00AC79FD" w:rsidRDefault="00C02343">
      <w:pPr>
        <w:tabs>
          <w:tab w:val="center" w:pos="4513"/>
          <w:tab w:val="right" w:pos="9026"/>
        </w:tabs>
        <w:spacing w:after="0" w:line="240" w:lineRule="auto"/>
        <w:jc w:val="center"/>
        <w:rPr>
          <w:rFonts w:ascii="Arial" w:eastAsia="Arial" w:hAnsi="Arial" w:cs="Arial"/>
          <w:b/>
          <w:sz w:val="28"/>
        </w:rPr>
      </w:pPr>
      <w:r>
        <w:rPr>
          <w:rFonts w:ascii="Arial" w:eastAsia="Arial" w:hAnsi="Arial" w:cs="Arial"/>
          <w:b/>
          <w:sz w:val="28"/>
        </w:rPr>
        <w:t>Gender Pay Gap Report</w:t>
      </w:r>
    </w:p>
    <w:p w:rsidR="00AC79FD" w:rsidRDefault="00C02343">
      <w:pPr>
        <w:spacing w:before="100" w:after="100" w:line="240" w:lineRule="auto"/>
        <w:rPr>
          <w:rFonts w:ascii="Arial" w:eastAsia="Arial" w:hAnsi="Arial" w:cs="Arial"/>
          <w:b/>
          <w:sz w:val="24"/>
        </w:rPr>
      </w:pPr>
      <w:r>
        <w:rPr>
          <w:rFonts w:ascii="Arial" w:eastAsia="Arial" w:hAnsi="Arial" w:cs="Arial"/>
          <w:b/>
          <w:sz w:val="24"/>
        </w:rPr>
        <w:t xml:space="preserve">Introduction: </w:t>
      </w:r>
    </w:p>
    <w:p w:rsidR="00AC79FD" w:rsidRDefault="00C02343">
      <w:pPr>
        <w:spacing w:after="0" w:line="240" w:lineRule="auto"/>
        <w:jc w:val="both"/>
        <w:rPr>
          <w:rFonts w:ascii="Arial" w:eastAsia="Arial" w:hAnsi="Arial" w:cs="Arial"/>
          <w:sz w:val="24"/>
        </w:rPr>
      </w:pPr>
      <w:r>
        <w:rPr>
          <w:rFonts w:ascii="Arial" w:eastAsia="Arial" w:hAnsi="Arial" w:cs="Arial"/>
          <w:sz w:val="24"/>
        </w:rPr>
        <w:t>The college is required to submit its annual Gender Pay Gap Report to the Government</w:t>
      </w:r>
      <w:r>
        <w:rPr>
          <w:rFonts w:ascii="Arial" w:eastAsia="Arial" w:hAnsi="Arial" w:cs="Arial"/>
          <w:color w:val="FF0000"/>
          <w:sz w:val="24"/>
        </w:rPr>
        <w:t xml:space="preserve"> </w:t>
      </w:r>
      <w:r>
        <w:rPr>
          <w:rFonts w:ascii="Arial" w:eastAsia="Arial" w:hAnsi="Arial" w:cs="Arial"/>
          <w:sz w:val="24"/>
        </w:rPr>
        <w:t xml:space="preserve">by </w:t>
      </w:r>
      <w:r w:rsidRPr="00C02343">
        <w:rPr>
          <w:rFonts w:ascii="Arial" w:eastAsia="Arial" w:hAnsi="Arial" w:cs="Arial"/>
          <w:sz w:val="24"/>
        </w:rPr>
        <w:t xml:space="preserve">05 </w:t>
      </w:r>
      <w:r w:rsidRPr="00C02343">
        <w:rPr>
          <w:rFonts w:ascii="Arial" w:eastAsia="Arial" w:hAnsi="Arial" w:cs="Arial"/>
          <w:sz w:val="24"/>
        </w:rPr>
        <w:t>October 202</w:t>
      </w:r>
      <w:r w:rsidRPr="00C02343">
        <w:rPr>
          <w:rFonts w:ascii="Arial" w:eastAsia="Arial" w:hAnsi="Arial" w:cs="Arial"/>
          <w:sz w:val="24"/>
        </w:rPr>
        <w:t>1</w:t>
      </w:r>
      <w:r w:rsidRPr="00C02343">
        <w:rPr>
          <w:rFonts w:ascii="Arial" w:eastAsia="Arial" w:hAnsi="Arial" w:cs="Arial"/>
          <w:sz w:val="24"/>
        </w:rPr>
        <w:t xml:space="preserve"> </w:t>
      </w:r>
      <w:r w:rsidRPr="00C02343">
        <w:rPr>
          <w:rFonts w:ascii="Arial" w:eastAsia="Arial" w:hAnsi="Arial" w:cs="Arial"/>
          <w:sz w:val="24"/>
        </w:rPr>
        <w:t>(due to the</w:t>
      </w:r>
      <w:bookmarkStart w:id="0" w:name="_GoBack"/>
      <w:bookmarkEnd w:id="0"/>
      <w:r w:rsidRPr="00C02343">
        <w:rPr>
          <w:rFonts w:ascii="Arial" w:eastAsia="Arial" w:hAnsi="Arial" w:cs="Arial"/>
          <w:sz w:val="24"/>
        </w:rPr>
        <w:t xml:space="preserve"> COVID19 extension arrangements)</w:t>
      </w:r>
      <w:r>
        <w:rPr>
          <w:rFonts w:ascii="Arial" w:eastAsia="Arial" w:hAnsi="Arial" w:cs="Arial"/>
          <w:color w:val="FF0000"/>
          <w:sz w:val="24"/>
        </w:rPr>
        <w:t xml:space="preserve"> </w:t>
      </w:r>
      <w:r>
        <w:rPr>
          <w:rFonts w:ascii="Arial" w:eastAsia="Arial" w:hAnsi="Arial" w:cs="Arial"/>
          <w:sz w:val="24"/>
        </w:rPr>
        <w:t xml:space="preserve">regarding its gender pay gap data for 2019/2020 and actions planned to address this during 2021. </w:t>
      </w:r>
    </w:p>
    <w:p w:rsidR="00AC79FD" w:rsidRDefault="00C02343">
      <w:pPr>
        <w:spacing w:before="100" w:after="100" w:line="240" w:lineRule="auto"/>
        <w:rPr>
          <w:rFonts w:ascii="Arial" w:eastAsia="Arial" w:hAnsi="Arial" w:cs="Arial"/>
          <w:b/>
          <w:sz w:val="24"/>
        </w:rPr>
      </w:pPr>
      <w:r>
        <w:rPr>
          <w:rFonts w:ascii="Arial" w:eastAsia="Arial" w:hAnsi="Arial" w:cs="Arial"/>
          <w:b/>
          <w:sz w:val="24"/>
        </w:rPr>
        <w:t>Overview</w:t>
      </w:r>
    </w:p>
    <w:p w:rsidR="00AC79FD" w:rsidRDefault="00C02343">
      <w:pPr>
        <w:keepNext/>
        <w:spacing w:after="0" w:line="240" w:lineRule="auto"/>
        <w:jc w:val="both"/>
        <w:rPr>
          <w:rFonts w:ascii="Arial" w:eastAsia="Arial" w:hAnsi="Arial" w:cs="Arial"/>
          <w:sz w:val="24"/>
        </w:rPr>
      </w:pPr>
      <w:r>
        <w:rPr>
          <w:rFonts w:ascii="Arial" w:eastAsia="Arial" w:hAnsi="Arial" w:cs="Arial"/>
          <w:sz w:val="24"/>
        </w:rPr>
        <w:t>The Equality Act 2010 (Specific Duties and Public Authorities) Regulations 2017 came into effect on 31 March 2017; it requires public sector authorit</w:t>
      </w:r>
      <w:r>
        <w:rPr>
          <w:rFonts w:ascii="Arial" w:eastAsia="Arial" w:hAnsi="Arial" w:cs="Arial"/>
          <w:sz w:val="24"/>
        </w:rPr>
        <w:t>ies with 250 or more employees to publish statutory calculations every year showing how large the pay gap is between their male and female employees. </w:t>
      </w:r>
    </w:p>
    <w:p w:rsidR="00AC79FD" w:rsidRDefault="00AC79FD">
      <w:pPr>
        <w:spacing w:after="0" w:line="240" w:lineRule="auto"/>
        <w:rPr>
          <w:rFonts w:ascii="Arial" w:eastAsia="Arial" w:hAnsi="Arial" w:cs="Arial"/>
          <w:sz w:val="24"/>
        </w:rPr>
      </w:pPr>
    </w:p>
    <w:p w:rsidR="00AC79FD" w:rsidRDefault="00C02343">
      <w:pPr>
        <w:spacing w:after="0" w:line="240" w:lineRule="auto"/>
        <w:jc w:val="both"/>
        <w:rPr>
          <w:rFonts w:ascii="Arial" w:eastAsia="Arial" w:hAnsi="Arial" w:cs="Arial"/>
          <w:sz w:val="24"/>
        </w:rPr>
      </w:pPr>
      <w:r>
        <w:rPr>
          <w:rFonts w:ascii="Arial" w:eastAsia="Arial" w:hAnsi="Arial" w:cs="Arial"/>
          <w:sz w:val="24"/>
        </w:rPr>
        <w:t>West Nottinghamshire College (WNC) is at the core of the West Nottinghamshire College Group and incorpor</w:t>
      </w:r>
      <w:r>
        <w:rPr>
          <w:rFonts w:ascii="Arial" w:eastAsia="Arial" w:hAnsi="Arial" w:cs="Arial"/>
          <w:sz w:val="24"/>
        </w:rPr>
        <w:t xml:space="preserve">ates two separate legal entities, West Nottinghamshire College and Vision Business Support Services (VBSS). The Regulations require each separate legal entity (i.e. the employer) with at least 250 employees within a </w:t>
      </w:r>
      <w:proofErr w:type="gramStart"/>
      <w:r>
        <w:rPr>
          <w:rFonts w:ascii="Arial" w:eastAsia="Arial" w:hAnsi="Arial" w:cs="Arial"/>
          <w:sz w:val="24"/>
        </w:rPr>
        <w:t>group</w:t>
      </w:r>
      <w:proofErr w:type="gramEnd"/>
      <w:r>
        <w:rPr>
          <w:rFonts w:ascii="Arial" w:eastAsia="Arial" w:hAnsi="Arial" w:cs="Arial"/>
          <w:sz w:val="24"/>
        </w:rPr>
        <w:t xml:space="preserve"> structure at the end date of each </w:t>
      </w:r>
      <w:r>
        <w:rPr>
          <w:rFonts w:ascii="Arial" w:eastAsia="Arial" w:hAnsi="Arial" w:cs="Arial"/>
          <w:sz w:val="24"/>
        </w:rPr>
        <w:t xml:space="preserve">reporting year to calculate and publish separate reports. Although VBSS independently falls outside of this legal requirement, it is included. </w:t>
      </w:r>
    </w:p>
    <w:p w:rsidR="00AC79FD" w:rsidRDefault="00AC79FD">
      <w:pPr>
        <w:spacing w:after="0" w:line="240" w:lineRule="auto"/>
        <w:jc w:val="both"/>
        <w:rPr>
          <w:rFonts w:ascii="Arial" w:eastAsia="Arial" w:hAnsi="Arial" w:cs="Arial"/>
          <w:sz w:val="24"/>
        </w:rPr>
      </w:pPr>
    </w:p>
    <w:p w:rsidR="00AC79FD" w:rsidRDefault="00C02343">
      <w:pPr>
        <w:spacing w:after="0" w:line="240" w:lineRule="auto"/>
        <w:jc w:val="both"/>
        <w:rPr>
          <w:rFonts w:ascii="Arial" w:eastAsia="Arial" w:hAnsi="Arial" w:cs="Arial"/>
          <w:sz w:val="24"/>
        </w:rPr>
      </w:pPr>
      <w:r>
        <w:rPr>
          <w:rFonts w:ascii="Arial" w:eastAsia="Arial" w:hAnsi="Arial" w:cs="Arial"/>
          <w:sz w:val="24"/>
        </w:rPr>
        <w:t>The legislation requires WNC (as a relevant employer of WNC and VBSS) to publish its statutory calculations, wh</w:t>
      </w:r>
      <w:r>
        <w:rPr>
          <w:rFonts w:ascii="Arial" w:eastAsia="Arial" w:hAnsi="Arial" w:cs="Arial"/>
          <w:sz w:val="24"/>
        </w:rPr>
        <w:t xml:space="preserve">ich is based on a combined headcount of 688 people as at 31st March 2020. </w:t>
      </w:r>
    </w:p>
    <w:p w:rsidR="00AC79FD" w:rsidRDefault="00C02343">
      <w:pPr>
        <w:spacing w:before="100" w:after="100" w:line="240" w:lineRule="auto"/>
        <w:rPr>
          <w:rFonts w:ascii="Arial" w:eastAsia="Arial" w:hAnsi="Arial" w:cs="Arial"/>
          <w:b/>
          <w:sz w:val="24"/>
        </w:rPr>
      </w:pPr>
      <w:r>
        <w:rPr>
          <w:rFonts w:ascii="Arial" w:eastAsia="Arial" w:hAnsi="Arial" w:cs="Arial"/>
          <w:b/>
          <w:sz w:val="24"/>
        </w:rPr>
        <w:t>What is gender pay reporting?</w:t>
      </w:r>
    </w:p>
    <w:p w:rsidR="00AC79FD" w:rsidRDefault="00C02343">
      <w:pPr>
        <w:spacing w:before="100" w:after="100" w:line="240" w:lineRule="auto"/>
        <w:rPr>
          <w:rFonts w:ascii="Arial" w:eastAsia="Arial" w:hAnsi="Arial" w:cs="Arial"/>
          <w:sz w:val="24"/>
        </w:rPr>
      </w:pPr>
      <w:r>
        <w:rPr>
          <w:rFonts w:ascii="Arial" w:eastAsia="Arial" w:hAnsi="Arial" w:cs="Arial"/>
          <w:sz w:val="24"/>
        </w:rPr>
        <w:t>It is important to recognise that gender pay reporting is not the same as equal pay. Equal pay is ensuring equal pay for equal work, whereas gender pay</w:t>
      </w:r>
      <w:r>
        <w:rPr>
          <w:rFonts w:ascii="Arial" w:eastAsia="Arial" w:hAnsi="Arial" w:cs="Arial"/>
          <w:sz w:val="24"/>
        </w:rPr>
        <w:t xml:space="preserve"> reporting is comparing hourly rates of pay and any bonuses employees may receive by their gender and help identify any imbalance. </w:t>
      </w:r>
    </w:p>
    <w:p w:rsidR="00AC79FD" w:rsidRDefault="00C02343">
      <w:pPr>
        <w:spacing w:before="100" w:after="100" w:line="240" w:lineRule="auto"/>
        <w:rPr>
          <w:rFonts w:ascii="Arial" w:eastAsia="Arial" w:hAnsi="Arial" w:cs="Arial"/>
          <w:sz w:val="24"/>
        </w:rPr>
      </w:pPr>
      <w:r>
        <w:rPr>
          <w:rFonts w:ascii="Arial" w:eastAsia="Arial" w:hAnsi="Arial" w:cs="Arial"/>
          <w:sz w:val="24"/>
        </w:rPr>
        <w:t xml:space="preserve">Based on the results, steps will be taken to address and/or close any significant gaps that are identified. </w:t>
      </w:r>
    </w:p>
    <w:p w:rsidR="00AC79FD" w:rsidRDefault="00AC79FD">
      <w:pPr>
        <w:spacing w:before="100" w:after="100" w:line="240" w:lineRule="auto"/>
        <w:rPr>
          <w:rFonts w:ascii="Arial" w:eastAsia="Arial" w:hAnsi="Arial" w:cs="Arial"/>
          <w:sz w:val="24"/>
        </w:rPr>
      </w:pPr>
    </w:p>
    <w:p w:rsidR="00AC79FD" w:rsidRDefault="00AC79FD">
      <w:pPr>
        <w:spacing w:before="100" w:after="100" w:line="240" w:lineRule="auto"/>
        <w:rPr>
          <w:rFonts w:ascii="Arial" w:eastAsia="Arial" w:hAnsi="Arial" w:cs="Arial"/>
          <w:sz w:val="24"/>
        </w:rPr>
      </w:pPr>
    </w:p>
    <w:p w:rsidR="00AC79FD" w:rsidRDefault="00AC79FD">
      <w:pPr>
        <w:spacing w:before="100" w:after="100" w:line="240" w:lineRule="auto"/>
        <w:rPr>
          <w:rFonts w:ascii="Arial" w:eastAsia="Arial" w:hAnsi="Arial" w:cs="Arial"/>
          <w:sz w:val="24"/>
        </w:rPr>
      </w:pPr>
    </w:p>
    <w:p w:rsidR="00AC79FD" w:rsidRDefault="00AC79FD">
      <w:pPr>
        <w:spacing w:before="100" w:after="100" w:line="240" w:lineRule="auto"/>
        <w:rPr>
          <w:rFonts w:ascii="Arial" w:eastAsia="Arial" w:hAnsi="Arial" w:cs="Arial"/>
          <w:sz w:val="24"/>
        </w:rPr>
      </w:pPr>
    </w:p>
    <w:p w:rsidR="00AC79FD" w:rsidRDefault="00AC79FD">
      <w:pPr>
        <w:spacing w:before="100" w:after="100" w:line="240" w:lineRule="auto"/>
        <w:rPr>
          <w:rFonts w:ascii="Arial" w:eastAsia="Arial" w:hAnsi="Arial" w:cs="Arial"/>
          <w:b/>
          <w:sz w:val="24"/>
        </w:rPr>
      </w:pPr>
    </w:p>
    <w:p w:rsidR="00AC79FD" w:rsidRDefault="00C02343">
      <w:pPr>
        <w:spacing w:before="100" w:after="100" w:line="240" w:lineRule="auto"/>
        <w:rPr>
          <w:rFonts w:ascii="Arial" w:eastAsia="Arial" w:hAnsi="Arial" w:cs="Arial"/>
          <w:b/>
          <w:sz w:val="24"/>
        </w:rPr>
      </w:pPr>
      <w:r>
        <w:rPr>
          <w:rFonts w:ascii="Arial" w:eastAsia="Arial" w:hAnsi="Arial" w:cs="Arial"/>
          <w:sz w:val="24"/>
        </w:rPr>
        <w:t xml:space="preserve">Our pay gap information </w:t>
      </w:r>
      <w:r>
        <w:rPr>
          <w:rFonts w:ascii="Arial" w:eastAsia="Arial" w:hAnsi="Arial" w:cs="Arial"/>
          <w:color w:val="000000"/>
          <w:sz w:val="24"/>
        </w:rPr>
        <w:t>for 2019/2020 is detailed below</w:t>
      </w:r>
    </w:p>
    <w:p w:rsidR="00AC79FD" w:rsidRDefault="00C02343">
      <w:pPr>
        <w:spacing w:before="100" w:after="100" w:line="240" w:lineRule="auto"/>
        <w:rPr>
          <w:rFonts w:ascii="Arial" w:eastAsia="Arial" w:hAnsi="Arial" w:cs="Arial"/>
          <w:sz w:val="24"/>
        </w:rPr>
      </w:pPr>
      <w:r>
        <w:rPr>
          <w:rFonts w:ascii="Arial" w:eastAsia="Arial" w:hAnsi="Arial" w:cs="Arial"/>
          <w:sz w:val="24"/>
        </w:rPr>
        <w:t>These figures are calculated using the three standard methodologies laid out in legislation.</w:t>
      </w:r>
    </w:p>
    <w:p w:rsidR="00AC79FD" w:rsidRDefault="00C02343">
      <w:pPr>
        <w:spacing w:before="240" w:after="192" w:line="240" w:lineRule="auto"/>
        <w:rPr>
          <w:rFonts w:ascii="Arial" w:eastAsia="Arial" w:hAnsi="Arial" w:cs="Arial"/>
          <w:b/>
          <w:sz w:val="24"/>
          <w:u w:val="single"/>
        </w:rPr>
      </w:pPr>
      <w:r>
        <w:rPr>
          <w:rFonts w:ascii="Arial" w:eastAsia="Arial" w:hAnsi="Arial" w:cs="Arial"/>
          <w:b/>
          <w:sz w:val="24"/>
          <w:u w:val="single"/>
        </w:rPr>
        <w:t>Published mean and median information (31 March 2020)</w:t>
      </w:r>
    </w:p>
    <w:tbl>
      <w:tblPr>
        <w:tblW w:w="0" w:type="auto"/>
        <w:tblInd w:w="14" w:type="dxa"/>
        <w:tblCellMar>
          <w:left w:w="10" w:type="dxa"/>
          <w:right w:w="10" w:type="dxa"/>
        </w:tblCellMar>
        <w:tblLook w:val="0000" w:firstRow="0" w:lastRow="0" w:firstColumn="0" w:lastColumn="0" w:noHBand="0" w:noVBand="0"/>
      </w:tblPr>
      <w:tblGrid>
        <w:gridCol w:w="2694"/>
        <w:gridCol w:w="1134"/>
        <w:gridCol w:w="992"/>
        <w:gridCol w:w="850"/>
        <w:gridCol w:w="1418"/>
        <w:gridCol w:w="1418"/>
      </w:tblGrid>
      <w:tr w:rsidR="00AC79FD">
        <w:tblPrEx>
          <w:tblCellMar>
            <w:top w:w="0" w:type="dxa"/>
            <w:bottom w:w="0" w:type="dxa"/>
          </w:tblCellMar>
        </w:tblPrEx>
        <w:trPr>
          <w:trHeight w:val="1"/>
        </w:trPr>
        <w:tc>
          <w:tcPr>
            <w:tcW w:w="2694"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sz w:val="24"/>
              </w:rPr>
              <w:t> </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sz w:val="24"/>
              </w:rPr>
              <w:t>Male</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sz w:val="24"/>
              </w:rPr>
              <w:t>Female</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sz w:val="24"/>
              </w:rPr>
              <w:t>Gap</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sz w:val="24"/>
              </w:rPr>
              <w:t>Percentage</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AC79FD">
            <w:pPr>
              <w:spacing w:before="100" w:after="100" w:line="240" w:lineRule="auto"/>
              <w:rPr>
                <w:rFonts w:ascii="Calibri" w:eastAsia="Calibri" w:hAnsi="Calibri" w:cs="Calibri"/>
              </w:rPr>
            </w:pPr>
          </w:p>
        </w:tc>
      </w:tr>
      <w:tr w:rsidR="00AC79FD">
        <w:tblPrEx>
          <w:tblCellMar>
            <w:top w:w="0" w:type="dxa"/>
            <w:bottom w:w="0" w:type="dxa"/>
          </w:tblCellMar>
        </w:tblPrEx>
        <w:trPr>
          <w:trHeight w:val="1"/>
        </w:trPr>
        <w:tc>
          <w:tcPr>
            <w:tcW w:w="2694"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sz w:val="24"/>
              </w:rPr>
              <w:t>Mean hourly rate</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b/>
                <w:color w:val="000000"/>
                <w:sz w:val="24"/>
              </w:rPr>
              <w:t>£15.80</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b/>
                <w:color w:val="000000"/>
                <w:sz w:val="24"/>
              </w:rPr>
              <w:t>£13.29</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b/>
                <w:color w:val="000000"/>
                <w:sz w:val="24"/>
              </w:rPr>
              <w:t>£2.51</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b/>
                <w:color w:val="000000"/>
                <w:sz w:val="24"/>
              </w:rPr>
              <w:t>15.88%</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AC79FD">
            <w:pPr>
              <w:spacing w:before="100" w:after="100" w:line="240" w:lineRule="auto"/>
              <w:rPr>
                <w:rFonts w:ascii="Calibri" w:eastAsia="Calibri" w:hAnsi="Calibri" w:cs="Calibri"/>
              </w:rPr>
            </w:pPr>
          </w:p>
        </w:tc>
      </w:tr>
      <w:tr w:rsidR="00AC79FD">
        <w:tblPrEx>
          <w:tblCellMar>
            <w:top w:w="0" w:type="dxa"/>
            <w:bottom w:w="0" w:type="dxa"/>
          </w:tblCellMar>
        </w:tblPrEx>
        <w:trPr>
          <w:trHeight w:val="1"/>
        </w:trPr>
        <w:tc>
          <w:tcPr>
            <w:tcW w:w="2694"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sz w:val="24"/>
              </w:rPr>
              <w:t>Median hourly rate</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b/>
                <w:color w:val="000000"/>
                <w:sz w:val="24"/>
              </w:rPr>
              <w:t>£16.70</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b/>
                <w:color w:val="000000"/>
                <w:sz w:val="24"/>
              </w:rPr>
              <w:t>£12.02</w:t>
            </w: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b/>
                <w:color w:val="000000"/>
                <w:sz w:val="24"/>
              </w:rPr>
              <w:t>£4.68</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b/>
                <w:color w:val="000000"/>
                <w:sz w:val="24"/>
              </w:rPr>
              <w:t>28%</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AC79FD">
            <w:pPr>
              <w:spacing w:before="100" w:after="100" w:line="240" w:lineRule="auto"/>
              <w:rPr>
                <w:rFonts w:ascii="Calibri" w:eastAsia="Calibri" w:hAnsi="Calibri" w:cs="Calibri"/>
              </w:rPr>
            </w:pPr>
          </w:p>
        </w:tc>
      </w:tr>
    </w:tbl>
    <w:p w:rsidR="00AC79FD" w:rsidRDefault="00AC79FD">
      <w:pPr>
        <w:spacing w:before="240" w:after="192" w:line="240" w:lineRule="auto"/>
        <w:rPr>
          <w:rFonts w:ascii="Arial" w:eastAsia="Arial" w:hAnsi="Arial" w:cs="Arial"/>
          <w:b/>
          <w:sz w:val="24"/>
          <w:u w:val="single"/>
        </w:rPr>
      </w:pPr>
    </w:p>
    <w:p w:rsidR="00AC79FD" w:rsidRDefault="00C02343">
      <w:pPr>
        <w:spacing w:before="240" w:after="192" w:line="240" w:lineRule="auto"/>
        <w:rPr>
          <w:rFonts w:ascii="Arial" w:eastAsia="Arial" w:hAnsi="Arial" w:cs="Arial"/>
          <w:b/>
          <w:sz w:val="24"/>
          <w:u w:val="single"/>
        </w:rPr>
      </w:pPr>
      <w:r>
        <w:rPr>
          <w:rFonts w:ascii="Arial" w:eastAsia="Arial" w:hAnsi="Arial" w:cs="Arial"/>
          <w:b/>
          <w:sz w:val="24"/>
          <w:u w:val="single"/>
        </w:rPr>
        <w:t>Total employees – salary quartile bands (31 March 2020)</w:t>
      </w:r>
    </w:p>
    <w:tbl>
      <w:tblPr>
        <w:tblW w:w="0" w:type="auto"/>
        <w:tblInd w:w="14" w:type="dxa"/>
        <w:tblCellMar>
          <w:left w:w="10" w:type="dxa"/>
          <w:right w:w="10" w:type="dxa"/>
        </w:tblCellMar>
        <w:tblLook w:val="0000" w:firstRow="0" w:lastRow="0" w:firstColumn="0" w:lastColumn="0" w:noHBand="0" w:noVBand="0"/>
      </w:tblPr>
      <w:tblGrid>
        <w:gridCol w:w="2252"/>
        <w:gridCol w:w="1201"/>
        <w:gridCol w:w="1350"/>
        <w:gridCol w:w="1801"/>
        <w:gridCol w:w="1201"/>
      </w:tblGrid>
      <w:tr w:rsidR="00AC79FD">
        <w:tblPrEx>
          <w:tblCellMar>
            <w:top w:w="0" w:type="dxa"/>
            <w:bottom w:w="0" w:type="dxa"/>
          </w:tblCellMar>
        </w:tblPrEx>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sz w:val="24"/>
              </w:rPr>
              <w:t> </w:t>
            </w:r>
          </w:p>
        </w:tc>
        <w:tc>
          <w:tcPr>
            <w:tcW w:w="120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sz w:val="24"/>
              </w:rPr>
              <w:t>Lower</w:t>
            </w:r>
          </w:p>
        </w:tc>
        <w:tc>
          <w:tcPr>
            <w:tcW w:w="1350"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sz w:val="24"/>
              </w:rPr>
              <w:t>Lower-  middle</w:t>
            </w:r>
          </w:p>
        </w:tc>
        <w:tc>
          <w:tcPr>
            <w:tcW w:w="180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sz w:val="24"/>
              </w:rPr>
              <w:t>Upper-middle</w:t>
            </w:r>
          </w:p>
        </w:tc>
        <w:tc>
          <w:tcPr>
            <w:tcW w:w="120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sz w:val="24"/>
              </w:rPr>
              <w:t>Upper</w:t>
            </w:r>
          </w:p>
        </w:tc>
      </w:tr>
      <w:tr w:rsidR="00AC79FD">
        <w:tblPrEx>
          <w:tblCellMar>
            <w:top w:w="0" w:type="dxa"/>
            <w:bottom w:w="0" w:type="dxa"/>
          </w:tblCellMar>
        </w:tblPrEx>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sz w:val="24"/>
              </w:rPr>
              <w:t>Male proportion</w:t>
            </w:r>
          </w:p>
        </w:tc>
        <w:tc>
          <w:tcPr>
            <w:tcW w:w="120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b/>
                <w:color w:val="000000"/>
                <w:sz w:val="24"/>
              </w:rPr>
              <w:t>23.66%</w:t>
            </w:r>
          </w:p>
        </w:tc>
        <w:tc>
          <w:tcPr>
            <w:tcW w:w="1350"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b/>
                <w:color w:val="000000"/>
                <w:sz w:val="24"/>
              </w:rPr>
              <w:t>25.41%</w:t>
            </w:r>
          </w:p>
        </w:tc>
        <w:tc>
          <w:tcPr>
            <w:tcW w:w="180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b/>
                <w:color w:val="000000"/>
                <w:sz w:val="24"/>
              </w:rPr>
              <w:t>36.76%</w:t>
            </w:r>
          </w:p>
        </w:tc>
        <w:tc>
          <w:tcPr>
            <w:tcW w:w="120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b/>
                <w:color w:val="000000"/>
                <w:sz w:val="24"/>
              </w:rPr>
              <w:t>50.54%</w:t>
            </w:r>
          </w:p>
        </w:tc>
      </w:tr>
      <w:tr w:rsidR="00AC79FD">
        <w:tblPrEx>
          <w:tblCellMar>
            <w:top w:w="0" w:type="dxa"/>
            <w:bottom w:w="0" w:type="dxa"/>
          </w:tblCellMar>
        </w:tblPrEx>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sz w:val="24"/>
              </w:rPr>
              <w:t>Female proportion</w:t>
            </w:r>
          </w:p>
        </w:tc>
        <w:tc>
          <w:tcPr>
            <w:tcW w:w="120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b/>
                <w:color w:val="000000"/>
                <w:sz w:val="24"/>
              </w:rPr>
              <w:t>76.34%</w:t>
            </w:r>
          </w:p>
        </w:tc>
        <w:tc>
          <w:tcPr>
            <w:tcW w:w="1350"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b/>
                <w:color w:val="000000"/>
                <w:sz w:val="24"/>
              </w:rPr>
              <w:t>74.59%</w:t>
            </w:r>
          </w:p>
        </w:tc>
        <w:tc>
          <w:tcPr>
            <w:tcW w:w="180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b/>
                <w:color w:val="000000"/>
                <w:sz w:val="24"/>
              </w:rPr>
              <w:t>63.24%</w:t>
            </w:r>
          </w:p>
        </w:tc>
        <w:tc>
          <w:tcPr>
            <w:tcW w:w="120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b/>
                <w:color w:val="000000"/>
                <w:sz w:val="24"/>
              </w:rPr>
              <w:t>49.46%</w:t>
            </w:r>
          </w:p>
        </w:tc>
      </w:tr>
    </w:tbl>
    <w:p w:rsidR="00AC79FD" w:rsidRDefault="00C02343">
      <w:pPr>
        <w:spacing w:before="240" w:after="192" w:line="240" w:lineRule="auto"/>
        <w:rPr>
          <w:rFonts w:ascii="Arial" w:eastAsia="Arial" w:hAnsi="Arial" w:cs="Arial"/>
          <w:b/>
          <w:color w:val="017FDF"/>
          <w:sz w:val="24"/>
        </w:rPr>
      </w:pPr>
      <w:r>
        <w:rPr>
          <w:rFonts w:ascii="Arial" w:eastAsia="Arial" w:hAnsi="Arial" w:cs="Arial"/>
          <w:b/>
          <w:color w:val="017FDF"/>
          <w:sz w:val="24"/>
        </w:rPr>
        <w:t> </w:t>
      </w:r>
    </w:p>
    <w:p w:rsidR="00AC79FD" w:rsidRDefault="00C02343">
      <w:pPr>
        <w:spacing w:before="240" w:after="192" w:line="240" w:lineRule="auto"/>
        <w:rPr>
          <w:rFonts w:ascii="Arial" w:eastAsia="Arial" w:hAnsi="Arial" w:cs="Arial"/>
          <w:b/>
          <w:sz w:val="24"/>
          <w:u w:val="single"/>
        </w:rPr>
      </w:pPr>
      <w:r>
        <w:rPr>
          <w:rFonts w:ascii="Arial" w:eastAsia="Arial" w:hAnsi="Arial" w:cs="Arial"/>
          <w:b/>
          <w:sz w:val="24"/>
          <w:u w:val="single"/>
        </w:rPr>
        <w:t>Published bonus information (31 March 2020)</w:t>
      </w:r>
    </w:p>
    <w:tbl>
      <w:tblPr>
        <w:tblW w:w="0" w:type="auto"/>
        <w:tblInd w:w="14" w:type="dxa"/>
        <w:tblCellMar>
          <w:left w:w="10" w:type="dxa"/>
          <w:right w:w="10" w:type="dxa"/>
        </w:tblCellMar>
        <w:tblLook w:val="0000" w:firstRow="0" w:lastRow="0" w:firstColumn="0" w:lastColumn="0" w:noHBand="0" w:noVBand="0"/>
      </w:tblPr>
      <w:tblGrid>
        <w:gridCol w:w="3086"/>
        <w:gridCol w:w="1309"/>
        <w:gridCol w:w="1275"/>
        <w:gridCol w:w="1276"/>
        <w:gridCol w:w="1418"/>
      </w:tblGrid>
      <w:tr w:rsidR="00AC79FD">
        <w:tblPrEx>
          <w:tblCellMar>
            <w:top w:w="0" w:type="dxa"/>
            <w:bottom w:w="0" w:type="dxa"/>
          </w:tblCellMar>
        </w:tblPrEx>
        <w:trPr>
          <w:trHeight w:val="1"/>
        </w:trPr>
        <w:tc>
          <w:tcPr>
            <w:tcW w:w="308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sz w:val="24"/>
              </w:rPr>
              <w:t> </w:t>
            </w:r>
          </w:p>
        </w:tc>
        <w:tc>
          <w:tcPr>
            <w:tcW w:w="1309"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sz w:val="24"/>
              </w:rPr>
              <w:t>Male</w:t>
            </w: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sz w:val="24"/>
              </w:rPr>
              <w:t>Female</w:t>
            </w: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sz w:val="24"/>
              </w:rPr>
              <w:t>Gap</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sz w:val="24"/>
              </w:rPr>
              <w:t>Percentage</w:t>
            </w:r>
          </w:p>
        </w:tc>
      </w:tr>
      <w:tr w:rsidR="00AC79FD">
        <w:tblPrEx>
          <w:tblCellMar>
            <w:top w:w="0" w:type="dxa"/>
            <w:bottom w:w="0" w:type="dxa"/>
          </w:tblCellMar>
        </w:tblPrEx>
        <w:trPr>
          <w:trHeight w:val="1"/>
        </w:trPr>
        <w:tc>
          <w:tcPr>
            <w:tcW w:w="308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sz w:val="24"/>
              </w:rPr>
              <w:t>Mean bonus</w:t>
            </w:r>
          </w:p>
        </w:tc>
        <w:tc>
          <w:tcPr>
            <w:tcW w:w="1309"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b/>
                <w:color w:val="000000"/>
                <w:sz w:val="24"/>
              </w:rPr>
              <w:t>N/A</w:t>
            </w: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b/>
                <w:color w:val="000000"/>
                <w:sz w:val="24"/>
              </w:rPr>
              <w:t>N/A</w:t>
            </w: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b/>
                <w:color w:val="000000"/>
                <w:sz w:val="24"/>
              </w:rPr>
              <w:t>N/A</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b/>
                <w:color w:val="000000"/>
                <w:sz w:val="24"/>
              </w:rPr>
              <w:t>N/A</w:t>
            </w:r>
          </w:p>
        </w:tc>
      </w:tr>
      <w:tr w:rsidR="00AC79FD">
        <w:tblPrEx>
          <w:tblCellMar>
            <w:top w:w="0" w:type="dxa"/>
            <w:bottom w:w="0" w:type="dxa"/>
          </w:tblCellMar>
        </w:tblPrEx>
        <w:trPr>
          <w:trHeight w:val="1"/>
        </w:trPr>
        <w:tc>
          <w:tcPr>
            <w:tcW w:w="308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sz w:val="24"/>
              </w:rPr>
              <w:t>Median bonus</w:t>
            </w:r>
          </w:p>
        </w:tc>
        <w:tc>
          <w:tcPr>
            <w:tcW w:w="1309"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b/>
                <w:color w:val="000000"/>
                <w:sz w:val="24"/>
              </w:rPr>
              <w:t>N/A</w:t>
            </w: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b/>
                <w:color w:val="000000"/>
                <w:sz w:val="24"/>
              </w:rPr>
              <w:t>N/A</w:t>
            </w: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b/>
                <w:color w:val="000000"/>
                <w:sz w:val="24"/>
              </w:rPr>
              <w:t>N/A</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b/>
                <w:color w:val="000000"/>
                <w:sz w:val="24"/>
              </w:rPr>
              <w:t>N/A</w:t>
            </w:r>
          </w:p>
        </w:tc>
      </w:tr>
      <w:tr w:rsidR="00AC79FD">
        <w:tblPrEx>
          <w:tblCellMar>
            <w:top w:w="0" w:type="dxa"/>
            <w:bottom w:w="0" w:type="dxa"/>
          </w:tblCellMar>
        </w:tblPrEx>
        <w:trPr>
          <w:trHeight w:val="1"/>
        </w:trPr>
        <w:tc>
          <w:tcPr>
            <w:tcW w:w="308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sz w:val="24"/>
              </w:rPr>
              <w:t>Proportion receiving a bonus</w:t>
            </w:r>
          </w:p>
        </w:tc>
        <w:tc>
          <w:tcPr>
            <w:tcW w:w="1309"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b/>
                <w:color w:val="000000"/>
                <w:sz w:val="24"/>
              </w:rPr>
              <w:t>N/A</w:t>
            </w:r>
          </w:p>
        </w:tc>
        <w:tc>
          <w:tcPr>
            <w:tcW w:w="1275"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b/>
                <w:color w:val="000000"/>
                <w:sz w:val="24"/>
              </w:rPr>
              <w:t>N/A</w:t>
            </w: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b/>
                <w:color w:val="000000"/>
                <w:sz w:val="24"/>
              </w:rPr>
              <w:t>N/A</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AC79FD" w:rsidRDefault="00C02343">
            <w:pPr>
              <w:spacing w:before="100" w:after="100" w:line="240" w:lineRule="auto"/>
            </w:pPr>
            <w:r>
              <w:rPr>
                <w:rFonts w:ascii="Arial" w:eastAsia="Arial" w:hAnsi="Arial" w:cs="Arial"/>
                <w:b/>
                <w:color w:val="000000"/>
                <w:sz w:val="24"/>
              </w:rPr>
              <w:t>N/A</w:t>
            </w:r>
          </w:p>
        </w:tc>
      </w:tr>
    </w:tbl>
    <w:p w:rsidR="00AC79FD" w:rsidRDefault="00AC79FD">
      <w:pPr>
        <w:spacing w:after="0" w:line="240" w:lineRule="auto"/>
        <w:jc w:val="both"/>
        <w:rPr>
          <w:rFonts w:ascii="Arial" w:eastAsia="Arial" w:hAnsi="Arial" w:cs="Arial"/>
        </w:rPr>
      </w:pPr>
    </w:p>
    <w:p w:rsidR="00AC79FD" w:rsidRDefault="00C02343">
      <w:pPr>
        <w:spacing w:after="0" w:line="240" w:lineRule="auto"/>
        <w:jc w:val="both"/>
        <w:rPr>
          <w:rFonts w:ascii="Arial" w:eastAsia="Arial" w:hAnsi="Arial" w:cs="Arial"/>
        </w:rPr>
      </w:pPr>
      <w:r>
        <w:rPr>
          <w:rFonts w:ascii="Arial" w:eastAsia="Arial" w:hAnsi="Arial" w:cs="Arial"/>
        </w:rPr>
        <w:t xml:space="preserve">NB: Bonus payments are not recognised. </w:t>
      </w:r>
    </w:p>
    <w:p w:rsidR="00AC79FD" w:rsidRDefault="00C02343">
      <w:pPr>
        <w:spacing w:before="100" w:after="100" w:line="240" w:lineRule="auto"/>
        <w:rPr>
          <w:rFonts w:ascii="Arial" w:eastAsia="Arial" w:hAnsi="Arial" w:cs="Arial"/>
          <w:b/>
          <w:sz w:val="24"/>
        </w:rPr>
      </w:pPr>
      <w:r>
        <w:rPr>
          <w:rFonts w:ascii="Arial" w:eastAsia="Arial" w:hAnsi="Arial" w:cs="Arial"/>
          <w:b/>
          <w:sz w:val="24"/>
        </w:rPr>
        <w:t>Summary</w:t>
      </w:r>
    </w:p>
    <w:p w:rsidR="00AC79FD" w:rsidRDefault="00C02343">
      <w:pPr>
        <w:spacing w:before="100" w:after="100" w:line="240" w:lineRule="auto"/>
        <w:rPr>
          <w:rFonts w:ascii="Arial" w:eastAsia="Arial" w:hAnsi="Arial" w:cs="Arial"/>
          <w:sz w:val="24"/>
        </w:rPr>
      </w:pPr>
      <w:r>
        <w:rPr>
          <w:rFonts w:ascii="Arial" w:eastAsia="Arial" w:hAnsi="Arial" w:cs="Arial"/>
          <w:sz w:val="24"/>
        </w:rPr>
        <w:t xml:space="preserve">The main reasons for our organisation’s gender pay gap are as follows: </w:t>
      </w:r>
    </w:p>
    <w:p w:rsidR="00AC79FD" w:rsidRDefault="00C02343">
      <w:pPr>
        <w:numPr>
          <w:ilvl w:val="0"/>
          <w:numId w:val="1"/>
        </w:numPr>
        <w:spacing w:before="100" w:after="100" w:line="240" w:lineRule="auto"/>
        <w:ind w:left="720" w:hanging="360"/>
        <w:rPr>
          <w:rFonts w:ascii="Arial" w:eastAsia="Arial" w:hAnsi="Arial" w:cs="Arial"/>
          <w:color w:val="000000"/>
        </w:rPr>
      </w:pPr>
      <w:r>
        <w:rPr>
          <w:rFonts w:ascii="Arial" w:eastAsia="Arial" w:hAnsi="Arial" w:cs="Arial"/>
          <w:color w:val="000000"/>
        </w:rPr>
        <w:t>There are 239 male and 449 female employees across the organisation. All roles within the college are aligned to a pay structure with grades and bandings. Each role is job evaluated an</w:t>
      </w:r>
      <w:r>
        <w:rPr>
          <w:rFonts w:ascii="Arial" w:eastAsia="Arial" w:hAnsi="Arial" w:cs="Arial"/>
          <w:color w:val="000000"/>
        </w:rPr>
        <w:t xml:space="preserve">d assigned a grade within a specific salary banding which is applied to both male and female employees appointed to a particular role. </w:t>
      </w:r>
    </w:p>
    <w:p w:rsidR="00AC79FD" w:rsidRDefault="00AC79FD">
      <w:pPr>
        <w:spacing w:before="100" w:after="100"/>
        <w:ind w:left="720"/>
        <w:rPr>
          <w:rFonts w:ascii="Arial" w:eastAsia="Arial" w:hAnsi="Arial" w:cs="Arial"/>
          <w:color w:val="000000"/>
        </w:rPr>
      </w:pPr>
    </w:p>
    <w:p w:rsidR="00AC79FD" w:rsidRDefault="00C02343">
      <w:pPr>
        <w:numPr>
          <w:ilvl w:val="0"/>
          <w:numId w:val="2"/>
        </w:numPr>
        <w:spacing w:before="100" w:after="100" w:line="240" w:lineRule="auto"/>
        <w:ind w:left="720" w:hanging="360"/>
        <w:rPr>
          <w:rFonts w:ascii="Arial" w:eastAsia="Arial" w:hAnsi="Arial" w:cs="Arial"/>
          <w:color w:val="000000"/>
        </w:rPr>
      </w:pPr>
      <w:r>
        <w:rPr>
          <w:rFonts w:ascii="Arial" w:eastAsia="Arial" w:hAnsi="Arial" w:cs="Arial"/>
          <w:color w:val="000000"/>
        </w:rPr>
        <w:t xml:space="preserve">60.8% of our female employees work part-time, compared to 33.89% of our male employees. </w:t>
      </w:r>
    </w:p>
    <w:p w:rsidR="00AC79FD" w:rsidRDefault="00AC79FD">
      <w:pPr>
        <w:ind w:left="720"/>
        <w:rPr>
          <w:rFonts w:ascii="Arial" w:eastAsia="Arial" w:hAnsi="Arial" w:cs="Arial"/>
          <w:color w:val="000000"/>
        </w:rPr>
      </w:pPr>
    </w:p>
    <w:p w:rsidR="00AC79FD" w:rsidRDefault="00C02343">
      <w:pPr>
        <w:numPr>
          <w:ilvl w:val="0"/>
          <w:numId w:val="3"/>
        </w:numPr>
        <w:spacing w:before="100" w:after="100" w:line="240" w:lineRule="auto"/>
        <w:ind w:left="720" w:hanging="360"/>
        <w:rPr>
          <w:rFonts w:ascii="Arial" w:eastAsia="Arial" w:hAnsi="Arial" w:cs="Arial"/>
          <w:color w:val="000000"/>
        </w:rPr>
      </w:pPr>
      <w:r>
        <w:rPr>
          <w:rFonts w:ascii="Arial" w:eastAsia="Arial" w:hAnsi="Arial" w:cs="Arial"/>
          <w:color w:val="000000"/>
        </w:rPr>
        <w:lastRenderedPageBreak/>
        <w:t>A higher proportion of women than men are employed in roles that are paid within the lower bands of the salary structures. The lower paid roles include cleaners and catering assistants, which, as in other organisations, are chiefly female dominated. The co</w:t>
      </w:r>
      <w:r>
        <w:rPr>
          <w:rFonts w:ascii="Arial" w:eastAsia="Arial" w:hAnsi="Arial" w:cs="Arial"/>
          <w:color w:val="000000"/>
        </w:rPr>
        <w:t>llege has almost three times more women than men in these roles.</w:t>
      </w:r>
    </w:p>
    <w:p w:rsidR="00AC79FD" w:rsidRDefault="00AC79FD">
      <w:pPr>
        <w:spacing w:before="100" w:after="100"/>
        <w:ind w:left="720"/>
        <w:rPr>
          <w:rFonts w:ascii="Arial" w:eastAsia="Arial" w:hAnsi="Arial" w:cs="Arial"/>
          <w:color w:val="000000"/>
        </w:rPr>
      </w:pPr>
    </w:p>
    <w:p w:rsidR="00AC79FD" w:rsidRDefault="00C02343">
      <w:pPr>
        <w:numPr>
          <w:ilvl w:val="0"/>
          <w:numId w:val="4"/>
        </w:numPr>
        <w:spacing w:after="0" w:line="240" w:lineRule="auto"/>
        <w:ind w:left="720" w:hanging="360"/>
        <w:jc w:val="both"/>
        <w:rPr>
          <w:rFonts w:ascii="Arial" w:eastAsia="Arial" w:hAnsi="Arial" w:cs="Arial"/>
        </w:rPr>
      </w:pPr>
      <w:r>
        <w:rPr>
          <w:rFonts w:ascii="Arial" w:eastAsia="Arial" w:hAnsi="Arial" w:cs="Arial"/>
          <w:color w:val="000000"/>
        </w:rPr>
        <w:t xml:space="preserve">Only 44.5% of roles which fall within the first pay quartile are part-time, whereas 77% </w:t>
      </w:r>
      <w:r>
        <w:rPr>
          <w:rFonts w:ascii="Arial" w:eastAsia="Arial" w:hAnsi="Arial" w:cs="Arial"/>
        </w:rPr>
        <w:t>of our 4th quartile work part-time. WNC is committed to attracting women into all roles.</w:t>
      </w:r>
      <w:r>
        <w:rPr>
          <w:rFonts w:ascii="Arial" w:eastAsia="Arial" w:hAnsi="Arial" w:cs="Arial"/>
          <w:i/>
        </w:rPr>
        <w:t xml:space="preserve"> (It should be</w:t>
      </w:r>
      <w:r>
        <w:rPr>
          <w:rFonts w:ascii="Arial" w:eastAsia="Arial" w:hAnsi="Arial" w:cs="Arial"/>
          <w:i/>
        </w:rPr>
        <w:t xml:space="preserve"> noted that the college is open to flexible working, which includes term-time only contracts. These opportunities are particularly attractive to women, who are keen to work part-time and flexibly around their childcare needs and other responsibilities (e.g</w:t>
      </w:r>
      <w:r>
        <w:rPr>
          <w:rFonts w:ascii="Arial" w:eastAsia="Arial" w:hAnsi="Arial" w:cs="Arial"/>
          <w:i/>
        </w:rPr>
        <w:t xml:space="preserve">. managing school drop-off and pick-up times, holidays, caring commitments of adults). </w:t>
      </w:r>
      <w:r>
        <w:rPr>
          <w:rFonts w:ascii="Arial" w:eastAsia="Arial" w:hAnsi="Arial" w:cs="Arial"/>
        </w:rPr>
        <w:t xml:space="preserve"> </w:t>
      </w:r>
    </w:p>
    <w:p w:rsidR="00AC79FD" w:rsidRDefault="00AC79FD">
      <w:pPr>
        <w:spacing w:after="0" w:line="240" w:lineRule="auto"/>
        <w:ind w:left="360"/>
        <w:rPr>
          <w:rFonts w:ascii="Arial" w:eastAsia="Arial" w:hAnsi="Arial" w:cs="Arial"/>
          <w:sz w:val="24"/>
        </w:rPr>
      </w:pPr>
    </w:p>
    <w:p w:rsidR="00AC79FD" w:rsidRDefault="00C02343">
      <w:pPr>
        <w:numPr>
          <w:ilvl w:val="0"/>
          <w:numId w:val="5"/>
        </w:numPr>
        <w:spacing w:after="0" w:line="240" w:lineRule="auto"/>
        <w:ind w:left="720" w:hanging="360"/>
        <w:jc w:val="both"/>
        <w:rPr>
          <w:rFonts w:ascii="Arial" w:eastAsia="Arial" w:hAnsi="Arial" w:cs="Arial"/>
        </w:rPr>
      </w:pPr>
      <w:r>
        <w:rPr>
          <w:rFonts w:ascii="Arial" w:eastAsia="Arial" w:hAnsi="Arial" w:cs="Arial"/>
        </w:rPr>
        <w:t xml:space="preserve">WNC wherever possible, supports flexible working requests and alternative flexible working patterns alongside part-time and term-time only opportunities. </w:t>
      </w:r>
    </w:p>
    <w:p w:rsidR="00AC79FD" w:rsidRDefault="00AC79FD">
      <w:pPr>
        <w:ind w:left="720"/>
        <w:jc w:val="both"/>
        <w:rPr>
          <w:rFonts w:ascii="Arial" w:eastAsia="Arial" w:hAnsi="Arial" w:cs="Arial"/>
        </w:rPr>
      </w:pPr>
    </w:p>
    <w:p w:rsidR="00AC79FD" w:rsidRDefault="00C02343">
      <w:pPr>
        <w:numPr>
          <w:ilvl w:val="0"/>
          <w:numId w:val="6"/>
        </w:numPr>
        <w:spacing w:before="100" w:after="100" w:line="240" w:lineRule="auto"/>
        <w:ind w:left="720" w:hanging="360"/>
        <w:rPr>
          <w:rFonts w:ascii="Arial" w:eastAsia="Arial" w:hAnsi="Arial" w:cs="Arial"/>
          <w:color w:val="000000"/>
        </w:rPr>
      </w:pPr>
      <w:r>
        <w:rPr>
          <w:rFonts w:ascii="Arial" w:eastAsia="Arial" w:hAnsi="Arial" w:cs="Arial"/>
          <w:color w:val="000000"/>
        </w:rPr>
        <w:t>There is a</w:t>
      </w:r>
      <w:r>
        <w:rPr>
          <w:rFonts w:ascii="Arial" w:eastAsia="Arial" w:hAnsi="Arial" w:cs="Arial"/>
          <w:color w:val="000000"/>
        </w:rPr>
        <w:t xml:space="preserve"> slightly higher proportion of our female employees within management roles. For this reporting period, 5.38% of our female employees hold management positions, compared to 3.05% of our male employees.</w:t>
      </w:r>
    </w:p>
    <w:p w:rsidR="00AC79FD" w:rsidRDefault="00AC79FD">
      <w:pPr>
        <w:ind w:left="720"/>
        <w:jc w:val="both"/>
        <w:rPr>
          <w:rFonts w:ascii="Arial" w:eastAsia="Arial" w:hAnsi="Arial" w:cs="Arial"/>
        </w:rPr>
      </w:pPr>
    </w:p>
    <w:p w:rsidR="00AC79FD" w:rsidRDefault="00C02343">
      <w:pPr>
        <w:numPr>
          <w:ilvl w:val="0"/>
          <w:numId w:val="7"/>
        </w:numPr>
        <w:spacing w:after="0" w:line="240" w:lineRule="auto"/>
        <w:ind w:left="720" w:hanging="360"/>
        <w:jc w:val="both"/>
        <w:rPr>
          <w:rFonts w:ascii="Arial" w:eastAsia="Arial" w:hAnsi="Arial" w:cs="Arial"/>
        </w:rPr>
      </w:pPr>
      <w:r>
        <w:rPr>
          <w:rFonts w:ascii="Arial" w:eastAsia="Arial" w:hAnsi="Arial" w:cs="Arial"/>
        </w:rPr>
        <w:t xml:space="preserve">No part-time roles exist at the levels of Head of Department/Service, senior management nor within its Executive team. </w:t>
      </w:r>
    </w:p>
    <w:p w:rsidR="00AC79FD" w:rsidRDefault="00AC79FD">
      <w:pPr>
        <w:ind w:left="720"/>
        <w:jc w:val="both"/>
        <w:rPr>
          <w:rFonts w:ascii="Arial" w:eastAsia="Arial" w:hAnsi="Arial" w:cs="Arial"/>
        </w:rPr>
      </w:pPr>
    </w:p>
    <w:p w:rsidR="00AC79FD" w:rsidRDefault="00C02343">
      <w:pPr>
        <w:numPr>
          <w:ilvl w:val="0"/>
          <w:numId w:val="8"/>
        </w:numPr>
        <w:spacing w:after="0" w:line="240" w:lineRule="auto"/>
        <w:ind w:left="720" w:hanging="360"/>
        <w:jc w:val="both"/>
        <w:rPr>
          <w:rFonts w:ascii="Arial" w:eastAsia="Arial" w:hAnsi="Arial" w:cs="Arial"/>
        </w:rPr>
      </w:pPr>
      <w:r>
        <w:rPr>
          <w:rFonts w:ascii="Arial" w:eastAsia="Arial" w:hAnsi="Arial" w:cs="Arial"/>
        </w:rPr>
        <w:t>Once more women in senior roles work part-time, they will become role models for others to feel confident they can do the same.</w:t>
      </w:r>
    </w:p>
    <w:p w:rsidR="00AC79FD" w:rsidRDefault="00AC79FD">
      <w:pPr>
        <w:spacing w:after="0" w:line="240" w:lineRule="auto"/>
        <w:jc w:val="both"/>
        <w:rPr>
          <w:rFonts w:ascii="Arial" w:eastAsia="Arial" w:hAnsi="Arial" w:cs="Arial"/>
          <w:sz w:val="24"/>
        </w:rPr>
      </w:pPr>
    </w:p>
    <w:p w:rsidR="00AC79FD" w:rsidRDefault="00C02343">
      <w:pPr>
        <w:numPr>
          <w:ilvl w:val="0"/>
          <w:numId w:val="9"/>
        </w:numPr>
        <w:ind w:left="720" w:hanging="360"/>
        <w:rPr>
          <w:rFonts w:ascii="Arial" w:eastAsia="Arial" w:hAnsi="Arial" w:cs="Arial"/>
        </w:rPr>
      </w:pPr>
      <w:r>
        <w:rPr>
          <w:rFonts w:ascii="Arial" w:eastAsia="Arial" w:hAnsi="Arial" w:cs="Arial"/>
        </w:rPr>
        <w:t>WNC ha</w:t>
      </w:r>
      <w:r>
        <w:rPr>
          <w:rFonts w:ascii="Arial" w:eastAsia="Arial" w:hAnsi="Arial" w:cs="Arial"/>
        </w:rPr>
        <w:t>s reviewed its recruitment and selection processes and is re-launching a refresher course. There will be a focus on occupational gender stereotyping and unconscious-bias awareness training, to support new and current line managers and staff about the inter</w:t>
      </w:r>
      <w:r>
        <w:rPr>
          <w:rFonts w:ascii="Arial" w:eastAsia="Arial" w:hAnsi="Arial" w:cs="Arial"/>
        </w:rPr>
        <w:t>ventions needed to both change the stereotype attitudes and beliefs, and close this gender gap. Our aim is to encourage and develop staff – and students deciding and preparing for their future careers – to aspire and pursue careers in areas where their int</w:t>
      </w:r>
      <w:r>
        <w:rPr>
          <w:rFonts w:ascii="Arial" w:eastAsia="Arial" w:hAnsi="Arial" w:cs="Arial"/>
        </w:rPr>
        <w:t xml:space="preserve">erests, talents and skills are.  </w:t>
      </w:r>
    </w:p>
    <w:p w:rsidR="00AC79FD" w:rsidRDefault="00AC79FD">
      <w:pPr>
        <w:ind w:left="720"/>
        <w:jc w:val="both"/>
        <w:rPr>
          <w:rFonts w:ascii="Arial" w:eastAsia="Arial" w:hAnsi="Arial" w:cs="Arial"/>
        </w:rPr>
      </w:pPr>
    </w:p>
    <w:p w:rsidR="00AC79FD" w:rsidRDefault="00C02343">
      <w:pPr>
        <w:numPr>
          <w:ilvl w:val="0"/>
          <w:numId w:val="10"/>
        </w:numPr>
        <w:spacing w:after="0" w:line="240" w:lineRule="auto"/>
        <w:ind w:left="720" w:hanging="360"/>
        <w:jc w:val="both"/>
        <w:rPr>
          <w:rFonts w:ascii="Arial" w:eastAsia="Arial" w:hAnsi="Arial" w:cs="Arial"/>
        </w:rPr>
      </w:pPr>
      <w:r>
        <w:rPr>
          <w:rFonts w:ascii="Arial" w:eastAsia="Arial" w:hAnsi="Arial" w:cs="Arial"/>
        </w:rPr>
        <w:t>WNC continues to promote an open flexible approach to work and the important of being flexible in finding the best solutions for both the college and skilled staff. This creative approach has positively impacted responses</w:t>
      </w:r>
      <w:r>
        <w:rPr>
          <w:rFonts w:ascii="Arial" w:eastAsia="Arial" w:hAnsi="Arial" w:cs="Arial"/>
        </w:rPr>
        <w:t xml:space="preserve"> to recruitment campaigns and supporting existing staff too, through life changes and circumstances. This has attracted and retained more people </w:t>
      </w:r>
      <w:r>
        <w:rPr>
          <w:rFonts w:ascii="Arial" w:eastAsia="Arial" w:hAnsi="Arial" w:cs="Arial"/>
        </w:rPr>
        <w:lastRenderedPageBreak/>
        <w:t>to regarding the college as a good employer the college where past traditional ‘working hours and shift pattern</w:t>
      </w:r>
      <w:r>
        <w:rPr>
          <w:rFonts w:ascii="Arial" w:eastAsia="Arial" w:hAnsi="Arial" w:cs="Arial"/>
        </w:rPr>
        <w:t xml:space="preserve">s’ have been allowed to evolve, where this is possible and created promotion within the organisation too. This focused and flexible approach has greatly supported the college in its response to the COVID19 pandemic and the adaptability of all its existing </w:t>
      </w:r>
      <w:r>
        <w:rPr>
          <w:rFonts w:ascii="Arial" w:eastAsia="Arial" w:hAnsi="Arial" w:cs="Arial"/>
        </w:rPr>
        <w:t xml:space="preserve">and newly recruited staff. </w:t>
      </w:r>
    </w:p>
    <w:p w:rsidR="00AC79FD" w:rsidRDefault="00AC79FD">
      <w:pPr>
        <w:ind w:left="720"/>
        <w:rPr>
          <w:rFonts w:ascii="Arial" w:eastAsia="Arial" w:hAnsi="Arial" w:cs="Arial"/>
        </w:rPr>
      </w:pPr>
    </w:p>
    <w:p w:rsidR="00AC79FD" w:rsidRDefault="00C02343">
      <w:pPr>
        <w:numPr>
          <w:ilvl w:val="0"/>
          <w:numId w:val="11"/>
        </w:numPr>
        <w:spacing w:after="0" w:line="240" w:lineRule="auto"/>
        <w:ind w:left="720" w:hanging="360"/>
        <w:jc w:val="both"/>
        <w:rPr>
          <w:rFonts w:ascii="Arial" w:eastAsia="Arial" w:hAnsi="Arial" w:cs="Arial"/>
        </w:rPr>
      </w:pPr>
      <w:r>
        <w:rPr>
          <w:rFonts w:ascii="Arial" w:eastAsia="Arial" w:hAnsi="Arial" w:cs="Arial"/>
        </w:rPr>
        <w:t>Our strategic plan and associated implementation plan provided the opportunity to focus on key areas such as talent management and succession planning into managerial and leadership roles. This work has also provided a platform</w:t>
      </w:r>
      <w:r>
        <w:rPr>
          <w:rFonts w:ascii="Arial" w:eastAsia="Arial" w:hAnsi="Arial" w:cs="Arial"/>
        </w:rPr>
        <w:t xml:space="preserve"> for the personal and career development of our employees, whilst actively supporting development opportunities to all our female employees too, into the traditionally male dominated specialisms i.e. Construction &amp; Engineering.  </w:t>
      </w:r>
    </w:p>
    <w:p w:rsidR="00AC79FD" w:rsidRDefault="00AC79FD">
      <w:pPr>
        <w:spacing w:after="0" w:line="240" w:lineRule="auto"/>
        <w:jc w:val="both"/>
        <w:rPr>
          <w:rFonts w:ascii="Arial" w:eastAsia="Arial" w:hAnsi="Arial" w:cs="Arial"/>
          <w:sz w:val="24"/>
        </w:rPr>
      </w:pPr>
    </w:p>
    <w:p w:rsidR="00AC79FD" w:rsidRDefault="00C02343">
      <w:pPr>
        <w:spacing w:before="100" w:after="100" w:line="240" w:lineRule="auto"/>
        <w:rPr>
          <w:rFonts w:ascii="Arial" w:eastAsia="Arial" w:hAnsi="Arial" w:cs="Arial"/>
          <w:sz w:val="24"/>
        </w:rPr>
      </w:pPr>
      <w:r>
        <w:rPr>
          <w:rFonts w:ascii="Arial" w:eastAsia="Arial" w:hAnsi="Arial" w:cs="Arial"/>
          <w:b/>
          <w:sz w:val="24"/>
        </w:rPr>
        <w:t>Supporting statement</w:t>
      </w:r>
      <w:r>
        <w:rPr>
          <w:rFonts w:ascii="Arial" w:eastAsia="Arial" w:hAnsi="Arial" w:cs="Arial"/>
          <w:b/>
          <w:sz w:val="24"/>
        </w:rPr>
        <w:br/>
      </w:r>
      <w:r>
        <w:rPr>
          <w:rFonts w:ascii="Arial" w:eastAsia="Arial" w:hAnsi="Arial" w:cs="Arial"/>
          <w:b/>
          <w:sz w:val="24"/>
        </w:rPr>
        <w:br/>
      </w:r>
      <w:r>
        <w:rPr>
          <w:rFonts w:ascii="Arial" w:eastAsia="Arial" w:hAnsi="Arial" w:cs="Arial"/>
          <w:color w:val="000000"/>
          <w:sz w:val="24"/>
        </w:rPr>
        <w:t xml:space="preserve">WNC has a mean hourly gender pay gap of 15.88% which is only slightly higher than the national average of 15.5% </w:t>
      </w:r>
      <w:r>
        <w:rPr>
          <w:rFonts w:ascii="Arial" w:eastAsia="Arial" w:hAnsi="Arial" w:cs="Arial"/>
          <w:sz w:val="24"/>
        </w:rPr>
        <w:t>(</w:t>
      </w:r>
      <w:hyperlink r:id="rId5">
        <w:r>
          <w:rPr>
            <w:rFonts w:ascii="Arial" w:eastAsia="Arial" w:hAnsi="Arial" w:cs="Arial"/>
            <w:color w:val="017FDF"/>
            <w:sz w:val="24"/>
            <w:u w:val="single"/>
          </w:rPr>
          <w:t>Office of National Statistics</w:t>
        </w:r>
      </w:hyperlink>
      <w:r>
        <w:rPr>
          <w:rFonts w:ascii="Arial" w:eastAsia="Arial" w:hAnsi="Arial" w:cs="Arial"/>
          <w:sz w:val="24"/>
        </w:rPr>
        <w:t xml:space="preserve"> – National Statistics Annual Survey of Hours and Earning (ASHE) 2020).</w:t>
      </w:r>
    </w:p>
    <w:p w:rsidR="00AC79FD" w:rsidRDefault="00C02343">
      <w:pPr>
        <w:spacing w:before="100" w:after="100" w:line="240" w:lineRule="auto"/>
        <w:rPr>
          <w:rFonts w:ascii="Arial" w:eastAsia="Arial" w:hAnsi="Arial" w:cs="Arial"/>
          <w:sz w:val="24"/>
        </w:rPr>
      </w:pPr>
      <w:r>
        <w:rPr>
          <w:rFonts w:ascii="Arial" w:eastAsia="Arial" w:hAnsi="Arial" w:cs="Arial"/>
          <w:sz w:val="24"/>
        </w:rPr>
        <w:t>WNC remains committed to ensuring fairness, inclusivity and the equal treatment of all employees irrespective of protected characteristics and to upholding our organisational values and behaviours, as it recognises the value and benefits these bring to th</w:t>
      </w:r>
      <w:r>
        <w:rPr>
          <w:rFonts w:ascii="Arial" w:eastAsia="Arial" w:hAnsi="Arial" w:cs="Arial"/>
          <w:sz w:val="24"/>
        </w:rPr>
        <w:t xml:space="preserve">e college and the experience of its employees and students. </w:t>
      </w:r>
    </w:p>
    <w:p w:rsidR="00AC79FD" w:rsidRDefault="00C02343">
      <w:pPr>
        <w:spacing w:after="0" w:line="240" w:lineRule="auto"/>
        <w:rPr>
          <w:rFonts w:ascii="Arial" w:eastAsia="Arial" w:hAnsi="Arial" w:cs="Arial"/>
        </w:rPr>
      </w:pPr>
      <w:r>
        <w:object w:dxaOrig="2995" w:dyaOrig="504">
          <v:rect id="rectole0000000000" o:spid="_x0000_i1025" style="width:149.9pt;height:25.25pt" o:ole="" o:preferrelative="t" stroked="f">
            <v:imagedata r:id="rId6" o:title=""/>
          </v:rect>
          <o:OLEObject Type="Embed" ProgID="StaticMetafile" ShapeID="rectole0000000000" DrawAspect="Content" ObjectID="_1680412657" r:id="rId7"/>
        </w:object>
      </w:r>
    </w:p>
    <w:p w:rsidR="00AC79FD" w:rsidRDefault="00AC79FD">
      <w:pPr>
        <w:spacing w:after="0" w:line="240" w:lineRule="auto"/>
        <w:rPr>
          <w:rFonts w:ascii="Arial" w:eastAsia="Arial" w:hAnsi="Arial" w:cs="Arial"/>
          <w:sz w:val="24"/>
        </w:rPr>
      </w:pPr>
    </w:p>
    <w:p w:rsidR="00AC79FD" w:rsidRDefault="00C02343">
      <w:pPr>
        <w:spacing w:after="0" w:line="240" w:lineRule="auto"/>
        <w:rPr>
          <w:rFonts w:ascii="Arial" w:eastAsia="Arial" w:hAnsi="Arial" w:cs="Arial"/>
          <w:sz w:val="24"/>
        </w:rPr>
      </w:pPr>
      <w:r>
        <w:rPr>
          <w:rFonts w:ascii="Arial" w:eastAsia="Arial" w:hAnsi="Arial" w:cs="Arial"/>
          <w:sz w:val="24"/>
        </w:rPr>
        <w:t>Suzanna Smith</w:t>
      </w:r>
    </w:p>
    <w:p w:rsidR="00AC79FD" w:rsidRDefault="00C02343">
      <w:pPr>
        <w:spacing w:after="0" w:line="240" w:lineRule="auto"/>
        <w:rPr>
          <w:rFonts w:ascii="Arial" w:eastAsia="Arial" w:hAnsi="Arial" w:cs="Arial"/>
          <w:sz w:val="24"/>
        </w:rPr>
      </w:pPr>
      <w:r>
        <w:rPr>
          <w:rFonts w:ascii="Arial" w:eastAsia="Arial" w:hAnsi="Arial" w:cs="Arial"/>
          <w:sz w:val="24"/>
        </w:rPr>
        <w:t>Director of HR and Organisational Development</w:t>
      </w:r>
    </w:p>
    <w:p w:rsidR="00AC79FD" w:rsidRDefault="00AC79FD">
      <w:pPr>
        <w:spacing w:after="0" w:line="240" w:lineRule="auto"/>
        <w:rPr>
          <w:rFonts w:ascii="Arial" w:eastAsia="Arial" w:hAnsi="Arial" w:cs="Arial"/>
          <w:sz w:val="24"/>
        </w:rPr>
      </w:pPr>
    </w:p>
    <w:p w:rsidR="00AC79FD" w:rsidRDefault="00AC79FD">
      <w:pPr>
        <w:spacing w:after="0" w:line="240" w:lineRule="auto"/>
        <w:rPr>
          <w:rFonts w:ascii="Arial" w:eastAsia="Arial" w:hAnsi="Arial" w:cs="Arial"/>
          <w:sz w:val="24"/>
        </w:rPr>
      </w:pPr>
    </w:p>
    <w:sectPr w:rsidR="00AC7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32D70"/>
    <w:multiLevelType w:val="multilevel"/>
    <w:tmpl w:val="D180DB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CF7CEB"/>
    <w:multiLevelType w:val="multilevel"/>
    <w:tmpl w:val="3B72E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A5021B"/>
    <w:multiLevelType w:val="multilevel"/>
    <w:tmpl w:val="EEFCD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FE4D8C"/>
    <w:multiLevelType w:val="multilevel"/>
    <w:tmpl w:val="7C2660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A97DEC"/>
    <w:multiLevelType w:val="multilevel"/>
    <w:tmpl w:val="4CAE1E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0D0775"/>
    <w:multiLevelType w:val="multilevel"/>
    <w:tmpl w:val="98240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250774"/>
    <w:multiLevelType w:val="multilevel"/>
    <w:tmpl w:val="5D249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6230FD"/>
    <w:multiLevelType w:val="multilevel"/>
    <w:tmpl w:val="107A9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6837371"/>
    <w:multiLevelType w:val="multilevel"/>
    <w:tmpl w:val="0E0AEB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70502C"/>
    <w:multiLevelType w:val="multilevel"/>
    <w:tmpl w:val="F1AE33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B7385C"/>
    <w:multiLevelType w:val="multilevel"/>
    <w:tmpl w:val="B77455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2"/>
  </w:num>
  <w:num w:numId="4">
    <w:abstractNumId w:val="5"/>
  </w:num>
  <w:num w:numId="5">
    <w:abstractNumId w:val="10"/>
  </w:num>
  <w:num w:numId="6">
    <w:abstractNumId w:val="3"/>
  </w:num>
  <w:num w:numId="7">
    <w:abstractNumId w:val="7"/>
  </w:num>
  <w:num w:numId="8">
    <w:abstractNumId w:val="0"/>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FD"/>
    <w:rsid w:val="00AC79FD"/>
    <w:rsid w:val="00C02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9B913C1-58D9-460B-9606-1DF84867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on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1027</Words>
  <Characters>5854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Caplin</dc:creator>
  <cp:lastModifiedBy>Hannah Caplin</cp:lastModifiedBy>
  <cp:revision>2</cp:revision>
  <dcterms:created xsi:type="dcterms:W3CDTF">2021-04-20T07:31:00Z</dcterms:created>
  <dcterms:modified xsi:type="dcterms:W3CDTF">2021-04-20T07:31:00Z</dcterms:modified>
</cp:coreProperties>
</file>